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331" w:tblpY="-1230"/>
        <w:tblW w:w="11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11070"/>
      </w:tblGrid>
      <w:tr w:rsidR="00916DB3" w:rsidRPr="00916DB3" w14:paraId="7B8DF101" w14:textId="77777777" w:rsidTr="00785346">
        <w:trPr>
          <w:trHeight w:val="1430"/>
        </w:trPr>
        <w:tc>
          <w:tcPr>
            <w:tcW w:w="113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6B5EC" w14:textId="77777777" w:rsidR="00916DB3" w:rsidRPr="00916DB3" w:rsidRDefault="00916DB3" w:rsidP="00785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noProof/>
              </w:rPr>
              <w:drawing>
                <wp:inline distT="0" distB="0" distL="0" distR="0" wp14:anchorId="4227C552" wp14:editId="0AC9AC9D">
                  <wp:extent cx="1114425" cy="113122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398" cy="116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DB3" w:rsidRPr="00916DB3" w14:paraId="7BB67868" w14:textId="77777777" w:rsidTr="00785346">
        <w:trPr>
          <w:gridBefore w:val="1"/>
          <w:wBefore w:w="270" w:type="dxa"/>
        </w:trPr>
        <w:tc>
          <w:tcPr>
            <w:tcW w:w="11070" w:type="dxa"/>
            <w:shd w:val="clear" w:color="auto" w:fill="002F8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9E24" w14:textId="77777777" w:rsidR="00916DB3" w:rsidRPr="00916DB3" w:rsidRDefault="00916DB3" w:rsidP="0078534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Times New Roman" w:eastAsia="Times New Roman" w:hAnsi="Times New Roman" w:cs="Times New Roman"/>
                <w:color w:val="FFFFFF"/>
                <w:sz w:val="6"/>
                <w:szCs w:val="6"/>
                <w:bdr w:val="none" w:sz="0" w:space="0" w:color="auto" w:frame="1"/>
              </w:rPr>
              <w:t> </w:t>
            </w:r>
          </w:p>
        </w:tc>
      </w:tr>
      <w:tr w:rsidR="00916DB3" w:rsidRPr="00916DB3" w14:paraId="12F0D556" w14:textId="77777777" w:rsidTr="00785346">
        <w:trPr>
          <w:gridBefore w:val="1"/>
          <w:wBefore w:w="270" w:type="dxa"/>
          <w:trHeight w:val="350"/>
        </w:trPr>
        <w:tc>
          <w:tcPr>
            <w:tcW w:w="11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629DD" w14:textId="77777777" w:rsidR="00916DB3" w:rsidRPr="00916DB3" w:rsidRDefault="00916DB3" w:rsidP="00785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Arial Black" w:eastAsia="Times New Roman" w:hAnsi="Arial Black" w:cs="Calibri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FROM THE OFFICE OF LEARNING AND COMPLIANCE SUPPORT SERVICES</w:t>
            </w:r>
          </w:p>
        </w:tc>
      </w:tr>
      <w:tr w:rsidR="00916DB3" w:rsidRPr="00916DB3" w14:paraId="5677C65E" w14:textId="77777777" w:rsidTr="00785346">
        <w:trPr>
          <w:gridBefore w:val="1"/>
          <w:wBefore w:w="270" w:type="dxa"/>
        </w:trPr>
        <w:tc>
          <w:tcPr>
            <w:tcW w:w="11070" w:type="dxa"/>
            <w:shd w:val="clear" w:color="auto" w:fill="002F8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4F3BF" w14:textId="77777777" w:rsidR="00916DB3" w:rsidRPr="00916DB3" w:rsidRDefault="00916DB3" w:rsidP="0078534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FFFFFF"/>
                <w:sz w:val="6"/>
                <w:szCs w:val="6"/>
                <w:bdr w:val="none" w:sz="0" w:space="0" w:color="auto" w:frame="1"/>
              </w:rPr>
              <w:t> </w:t>
            </w:r>
          </w:p>
        </w:tc>
      </w:tr>
      <w:tr w:rsidR="00916DB3" w:rsidRPr="00916DB3" w14:paraId="02993774" w14:textId="77777777" w:rsidTr="00785346">
        <w:trPr>
          <w:gridBefore w:val="1"/>
          <w:wBefore w:w="270" w:type="dxa"/>
          <w:trHeight w:val="414"/>
        </w:trPr>
        <w:tc>
          <w:tcPr>
            <w:tcW w:w="11070" w:type="dxa"/>
            <w:shd w:val="clear" w:color="auto" w:fill="FFD2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1F823" w14:textId="77777777" w:rsidR="00916DB3" w:rsidRPr="00916DB3" w:rsidRDefault="00916DB3" w:rsidP="00785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Arial Black" w:eastAsia="Times New Roman" w:hAnsi="Arial Black" w:cs="Calibri"/>
                <w:b/>
                <w:bCs/>
                <w:color w:val="002060"/>
                <w:sz w:val="24"/>
                <w:szCs w:val="24"/>
                <w:bdr w:val="none" w:sz="0" w:space="0" w:color="auto" w:frame="1"/>
              </w:rPr>
              <w:t>ACTION REQUIRED</w:t>
            </w:r>
          </w:p>
        </w:tc>
      </w:tr>
      <w:tr w:rsidR="00916DB3" w:rsidRPr="00916DB3" w14:paraId="1A349050" w14:textId="77777777" w:rsidTr="00785346">
        <w:trPr>
          <w:gridBefore w:val="1"/>
          <w:wBefore w:w="270" w:type="dxa"/>
        </w:trPr>
        <w:tc>
          <w:tcPr>
            <w:tcW w:w="11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0FD5C" w14:textId="77777777" w:rsidR="00916DB3" w:rsidRPr="00916DB3" w:rsidRDefault="00916DB3" w:rsidP="0078534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1"/>
                <w:szCs w:val="11"/>
                <w:bdr w:val="none" w:sz="0" w:space="0" w:color="auto" w:frame="1"/>
              </w:rPr>
              <w:t> </w:t>
            </w:r>
          </w:p>
        </w:tc>
      </w:tr>
      <w:tr w:rsidR="00916DB3" w:rsidRPr="00916DB3" w14:paraId="4DAF9A30" w14:textId="77777777" w:rsidTr="00785346">
        <w:trPr>
          <w:gridBefore w:val="1"/>
          <w:wBefore w:w="270" w:type="dxa"/>
        </w:trPr>
        <w:tc>
          <w:tcPr>
            <w:tcW w:w="11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10807" w14:textId="77777777" w:rsidR="00916DB3" w:rsidRPr="00916DB3" w:rsidRDefault="00916DB3" w:rsidP="0078534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TO:                            All Master Schedulers</w:t>
            </w:r>
          </w:p>
          <w:p w14:paraId="6FEDF2DF" w14:textId="77777777" w:rsidR="00916DB3" w:rsidRPr="00916DB3" w:rsidRDefault="00916DB3" w:rsidP="0078534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14:paraId="168B3872" w14:textId="77777777" w:rsidR="00916DB3" w:rsidRPr="00916DB3" w:rsidRDefault="00916DB3" w:rsidP="007838D7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DISTRIBUTION:   </w:t>
            </w:r>
            <w:r w:rsidR="007838D7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Secondary Master Schedulers, </w:t>
            </w:r>
            <w:r w:rsidR="007838D7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Counselors, Registrars</w:t>
            </w:r>
          </w:p>
          <w:p w14:paraId="76012263" w14:textId="77777777" w:rsidR="0045696E" w:rsidRDefault="0045696E" w:rsidP="00785346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249119EA" w14:textId="77777777" w:rsidR="00916DB3" w:rsidRPr="00916DB3" w:rsidRDefault="00916DB3" w:rsidP="0078534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FROM:                     Angela </w:t>
            </w:r>
            <w:proofErr w:type="spellStart"/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Rolen</w:t>
            </w:r>
            <w:proofErr w:type="spellEnd"/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, Coordinator of Learning and Compliance Support</w:t>
            </w:r>
            <w:r w:rsidR="00785346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Services</w:t>
            </w:r>
          </w:p>
          <w:p w14:paraId="6D9BF9DA" w14:textId="77777777" w:rsidR="00916DB3" w:rsidRPr="00916DB3" w:rsidRDefault="00916DB3" w:rsidP="0078534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14:paraId="13CD03DA" w14:textId="77777777" w:rsidR="00916DB3" w:rsidRPr="00916DB3" w:rsidRDefault="00916DB3" w:rsidP="0078534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THROUGH:            Colleen </w:t>
            </w:r>
            <w:proofErr w:type="spellStart"/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Bohrmann</w:t>
            </w:r>
            <w:proofErr w:type="spellEnd"/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, Senior Executive Director</w:t>
            </w:r>
          </w:p>
          <w:p w14:paraId="3B198C26" w14:textId="77777777" w:rsidR="00916DB3" w:rsidRPr="00916DB3" w:rsidRDefault="00916DB3" w:rsidP="0078534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                                 </w:t>
            </w:r>
            <w:r w:rsidR="00785346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Agnes Gonzalez, Director</w:t>
            </w:r>
          </w:p>
          <w:p w14:paraId="5E22725B" w14:textId="77777777" w:rsidR="00916DB3" w:rsidRPr="00916DB3" w:rsidRDefault="00916DB3" w:rsidP="0078534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14:paraId="6A8A041E" w14:textId="532D02EF" w:rsidR="00916DB3" w:rsidRPr="00916DB3" w:rsidRDefault="00916DB3" w:rsidP="0078534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CC:                            Raul Salazar, Dr. Daniel Loudenback, Lieutenant Colonel Jerry Cheatom               </w:t>
            </w:r>
          </w:p>
          <w:p w14:paraId="4BCCE4CA" w14:textId="77777777" w:rsidR="00292A57" w:rsidRDefault="00292A57" w:rsidP="00785346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0E71F6D2" w14:textId="77777777" w:rsidR="00916DB3" w:rsidRPr="00916DB3" w:rsidRDefault="00916DB3" w:rsidP="0078534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SUBJECT:                Procedure for Awarding a Physical Education substitution credit</w:t>
            </w:r>
          </w:p>
          <w:p w14:paraId="45169D2C" w14:textId="77777777" w:rsidR="00916DB3" w:rsidRPr="00916DB3" w:rsidRDefault="00916DB3" w:rsidP="0078534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14:paraId="0F987462" w14:textId="77777777" w:rsidR="00916DB3" w:rsidRPr="00916DB3" w:rsidRDefault="00916DB3" w:rsidP="00785346">
            <w:pPr>
              <w:spacing w:after="0" w:line="240" w:lineRule="auto"/>
              <w:ind w:left="2160" w:hanging="2160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DATE:                      Monday, April 10, 2023</w:t>
            </w:r>
          </w:p>
          <w:p w14:paraId="66B58D72" w14:textId="77777777" w:rsidR="00916DB3" w:rsidRPr="00916DB3" w:rsidRDefault="00916DB3" w:rsidP="00785346">
            <w:pPr>
              <w:spacing w:after="0" w:line="240" w:lineRule="auto"/>
              <w:ind w:left="2160" w:hanging="2160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  </w:t>
            </w:r>
          </w:p>
          <w:p w14:paraId="5E0030F1" w14:textId="77777777" w:rsidR="0045696E" w:rsidRDefault="00916DB3" w:rsidP="0078534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bdr w:val="none" w:sz="0" w:space="0" w:color="auto" w:frame="1"/>
              </w:rPr>
            </w:pPr>
            <w:r w:rsidRPr="00916DB3">
              <w:rPr>
                <w:rFonts w:ascii="Calibri" w:eastAsia="Times New Roman" w:hAnsi="Calibri" w:cs="Calibri"/>
                <w:color w:val="000000"/>
                <w:sz w:val="23"/>
                <w:szCs w:val="23"/>
                <w:bdr w:val="none" w:sz="0" w:space="0" w:color="auto" w:frame="1"/>
              </w:rPr>
              <w:t> </w:t>
            </w:r>
          </w:p>
          <w:p w14:paraId="48628848" w14:textId="77777777" w:rsidR="00916DB3" w:rsidRPr="00916DB3" w:rsidRDefault="00916DB3" w:rsidP="0078534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242424"/>
                <w:sz w:val="24"/>
                <w:szCs w:val="24"/>
                <w:bdr w:val="none" w:sz="0" w:space="0" w:color="auto" w:frame="1"/>
              </w:rPr>
              <w:t>The Texas Education Agency permits a P.E. substitution for students participating in Cheer, Dance Team, Pep Squad, Marching Band, and ROTC. </w:t>
            </w:r>
          </w:p>
          <w:p w14:paraId="0713203B" w14:textId="77777777" w:rsidR="00916DB3" w:rsidRPr="00916DB3" w:rsidRDefault="00916DB3" w:rsidP="0078534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Calibri" w:eastAsia="Times New Roman" w:hAnsi="Calibri" w:cs="Calibri"/>
                <w:color w:val="000000"/>
                <w:sz w:val="23"/>
                <w:szCs w:val="23"/>
                <w:bdr w:val="none" w:sz="0" w:space="0" w:color="auto" w:frame="1"/>
              </w:rPr>
              <w:t> </w:t>
            </w:r>
          </w:p>
          <w:p w14:paraId="03C82465" w14:textId="77777777" w:rsidR="00916DB3" w:rsidRPr="00916DB3" w:rsidRDefault="00916DB3" w:rsidP="0078534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242424"/>
                <w:sz w:val="24"/>
                <w:szCs w:val="24"/>
                <w:bdr w:val="none" w:sz="0" w:space="0" w:color="auto" w:frame="1"/>
              </w:rPr>
              <w:t>The information below indicates how a campus will award a P.E. substitute.</w:t>
            </w:r>
          </w:p>
          <w:p w14:paraId="3028E992" w14:textId="77777777" w:rsidR="00916DB3" w:rsidRPr="00916DB3" w:rsidRDefault="00916DB3" w:rsidP="0078534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Calibri" w:eastAsia="Times New Roman" w:hAnsi="Calibri" w:cs="Calibri"/>
                <w:color w:val="000000"/>
                <w:sz w:val="23"/>
                <w:szCs w:val="23"/>
                <w:bdr w:val="none" w:sz="0" w:space="0" w:color="auto" w:frame="1"/>
              </w:rPr>
              <w:t> </w:t>
            </w:r>
          </w:p>
          <w:p w14:paraId="2C954654" w14:textId="77777777" w:rsidR="00916DB3" w:rsidRPr="00916DB3" w:rsidRDefault="00916DB3" w:rsidP="0078534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Here are the steps the campus will take to award the P.E. substitution credit for </w:t>
            </w:r>
            <w:r w:rsidRPr="00916DB3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Cheer 1 (8141)</w:t>
            </w: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916DB3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Dance Team 1 (8145)</w:t>
            </w: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, and </w:t>
            </w:r>
            <w:r w:rsidRPr="00916DB3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Pep Squad 1 (8171)</w:t>
            </w:r>
            <w:r w:rsidRPr="00916DB3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916DB3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</w:rPr>
              <w:t>if needed</w:t>
            </w: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14:paraId="75B7D882" w14:textId="77777777" w:rsidR="00916DB3" w:rsidRPr="00916DB3" w:rsidRDefault="00916DB3" w:rsidP="0078534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42424"/>
              </w:rPr>
            </w:pPr>
            <w:r w:rsidRPr="00916DB3">
              <w:rPr>
                <w:rFonts w:ascii="Segoe UI" w:eastAsia="Times New Roman" w:hAnsi="Segoe UI" w:cs="Segoe UI"/>
                <w:color w:val="000000"/>
                <w:sz w:val="23"/>
                <w:szCs w:val="23"/>
                <w:bdr w:val="none" w:sz="0" w:space="0" w:color="auto" w:frame="1"/>
              </w:rPr>
              <w:t> </w:t>
            </w:r>
          </w:p>
          <w:p w14:paraId="28F9E4D2" w14:textId="77777777" w:rsidR="00916DB3" w:rsidRPr="00916DB3" w:rsidRDefault="00916DB3" w:rsidP="0078534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After the 1st-semester campuses will receive a list of students who are enrolled in (Cheer 1 (8141), Dance Team 1 (8145), and Pep Squad 1 (8171)) and who have not yet earned a year’s credit in PE.</w:t>
            </w:r>
          </w:p>
          <w:p w14:paraId="15CC0DDB" w14:textId="77777777" w:rsidR="00916DB3" w:rsidRPr="00916DB3" w:rsidRDefault="00916DB3" w:rsidP="00785346">
            <w:pPr>
              <w:shd w:val="clear" w:color="auto" w:fill="FFFFFF"/>
              <w:spacing w:after="0" w:line="240" w:lineRule="auto"/>
              <w:ind w:left="720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14:paraId="503C3B90" w14:textId="77777777" w:rsidR="00916DB3" w:rsidRPr="00916DB3" w:rsidRDefault="00916DB3" w:rsidP="0078534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Each campus will review the student lists with their Fine Arts department.</w:t>
            </w:r>
          </w:p>
          <w:p w14:paraId="31C5D536" w14:textId="77777777" w:rsidR="00916DB3" w:rsidRPr="00916DB3" w:rsidRDefault="00916DB3" w:rsidP="00785346">
            <w:pPr>
              <w:shd w:val="clear" w:color="auto" w:fill="FFFFFF"/>
              <w:spacing w:after="0" w:line="240" w:lineRule="auto"/>
              <w:ind w:left="720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14:paraId="0D91408D" w14:textId="77777777" w:rsidR="00916DB3" w:rsidRPr="00916DB3" w:rsidRDefault="00916DB3" w:rsidP="008923D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After receiving campus </w:t>
            </w:r>
            <w:r w:rsidRPr="00916DB3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administrative</w:t>
            </w: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 approval, the campus registrar will award credit on the student's transcript with a letter grade of a "P."</w:t>
            </w:r>
          </w:p>
          <w:p w14:paraId="18662316" w14:textId="77777777" w:rsidR="00916DB3" w:rsidRPr="00916DB3" w:rsidRDefault="00916DB3" w:rsidP="0078534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These are the course numbers that a campus will use to place the credit on the student transcript</w:t>
            </w:r>
            <w:r w:rsidRPr="00916DB3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; Cheer sub</w:t>
            </w: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 (for Cheer 1) </w:t>
            </w:r>
            <w:r w:rsidRPr="00916DB3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6830 </w:t>
            </w: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/ </w:t>
            </w:r>
            <w:r w:rsidRPr="00916DB3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Dance PE Sub</w:t>
            </w: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 (for Dance Team 1 and Pep Squad 1) </w:t>
            </w:r>
            <w:r w:rsidRPr="00916DB3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6829.</w:t>
            </w:r>
          </w:p>
          <w:p w14:paraId="215CCFDF" w14:textId="77777777" w:rsidR="00916DB3" w:rsidRPr="00916DB3" w:rsidRDefault="00916DB3" w:rsidP="00785346">
            <w:pPr>
              <w:shd w:val="clear" w:color="auto" w:fill="FFFFFF"/>
              <w:spacing w:after="0" w:line="240" w:lineRule="auto"/>
              <w:ind w:left="720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14:paraId="009F5F6E" w14:textId="77777777" w:rsidR="00916DB3" w:rsidRPr="00916DB3" w:rsidRDefault="00916DB3" w:rsidP="0078534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Another student list will be provided at the end of the 2</w:t>
            </w: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nd</w:t>
            </w: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 semester to repeat steps #1 - #4.</w:t>
            </w:r>
          </w:p>
          <w:p w14:paraId="7D1CA206" w14:textId="77777777" w:rsidR="00916DB3" w:rsidRPr="00916DB3" w:rsidRDefault="00916DB3" w:rsidP="0078534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Segoe UI" w:eastAsia="Times New Roman" w:hAnsi="Segoe UI" w:cs="Segoe UI"/>
                <w:color w:val="242424"/>
                <w:sz w:val="23"/>
                <w:szCs w:val="23"/>
                <w:bdr w:val="none" w:sz="0" w:space="0" w:color="auto" w:frame="1"/>
              </w:rPr>
              <w:lastRenderedPageBreak/>
              <w:t> </w:t>
            </w:r>
          </w:p>
          <w:p w14:paraId="4E80C0AF" w14:textId="77777777" w:rsidR="00916DB3" w:rsidRPr="00916DB3" w:rsidRDefault="00916DB3" w:rsidP="0078534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Here are the steps the campus will take to award the P.E. substitution credit for </w:t>
            </w:r>
            <w:r w:rsidRPr="00916DB3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Band 1</w:t>
            </w: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916DB3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(6681)</w:t>
            </w: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 and </w:t>
            </w:r>
            <w:r w:rsidRPr="00916DB3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Band 2 (6682)</w:t>
            </w: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 for the </w:t>
            </w:r>
            <w:r w:rsidRPr="00916DB3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00"/>
              </w:rPr>
              <w:t>Fall </w:t>
            </w: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semester ONLY </w:t>
            </w:r>
            <w:r w:rsidRPr="00916DB3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</w:rPr>
              <w:t>if needed</w:t>
            </w:r>
            <w:r w:rsidRPr="00916DB3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14:paraId="3C6CCC5F" w14:textId="77777777" w:rsidR="00916DB3" w:rsidRPr="00916DB3" w:rsidRDefault="00916DB3" w:rsidP="0078534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After the 1st-semester campuses will receive a list of students who are enrolled in Band 1 (6681) and Band 2 (6682) and who have not yet earned a year's credit in PE.</w:t>
            </w:r>
          </w:p>
          <w:p w14:paraId="34E92756" w14:textId="77777777" w:rsidR="00916DB3" w:rsidRPr="00916DB3" w:rsidRDefault="00916DB3" w:rsidP="00785346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Each campus will review the student lists with their Fine Arts department.</w:t>
            </w:r>
          </w:p>
          <w:p w14:paraId="6F96EB60" w14:textId="77777777" w:rsidR="00916DB3" w:rsidRPr="00916DB3" w:rsidRDefault="00916DB3" w:rsidP="0078534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After receiving campus administrative approval, the campus registrar will award credit on the student's transcript with a letter grade of a "P."</w:t>
            </w:r>
          </w:p>
          <w:p w14:paraId="0BD0B99D" w14:textId="77777777" w:rsidR="00916DB3" w:rsidRPr="00916DB3" w:rsidRDefault="00916DB3" w:rsidP="0078534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DB3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M Band PE Sub (6831)</w:t>
            </w: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 will be used for both Band 1 (6681) and Band 2 (6682) to award credit.</w:t>
            </w:r>
          </w:p>
          <w:p w14:paraId="616D79B3" w14:textId="77777777" w:rsidR="00916DB3" w:rsidRPr="00916DB3" w:rsidRDefault="00916DB3" w:rsidP="00785346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A list of students will not be provided after the 2nd semester. Students should only be receiving the PE substitution for the Fall. </w:t>
            </w:r>
          </w:p>
          <w:p w14:paraId="3FE2B4AC" w14:textId="77777777" w:rsidR="00916DB3" w:rsidRPr="00916DB3" w:rsidRDefault="00916DB3" w:rsidP="0078534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Segoe UI" w:eastAsia="Times New Roman" w:hAnsi="Segoe UI" w:cs="Segoe UI"/>
                <w:color w:val="000000"/>
                <w:sz w:val="23"/>
                <w:szCs w:val="23"/>
                <w:bdr w:val="none" w:sz="0" w:space="0" w:color="auto" w:frame="1"/>
              </w:rPr>
              <w:t> </w:t>
            </w:r>
          </w:p>
          <w:p w14:paraId="773A12DB" w14:textId="77777777" w:rsidR="00916DB3" w:rsidRPr="00916DB3" w:rsidRDefault="00916DB3" w:rsidP="0078534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42424"/>
                <w:sz w:val="28"/>
                <w:szCs w:val="28"/>
              </w:rPr>
            </w:pPr>
            <w:r w:rsidRPr="00916DB3"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ROTC 1</w:t>
            </w:r>
          </w:p>
          <w:p w14:paraId="09F25CBD" w14:textId="77777777" w:rsidR="00916DB3" w:rsidRPr="00916DB3" w:rsidRDefault="00916DB3" w:rsidP="0078534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242424"/>
                <w:sz w:val="24"/>
                <w:szCs w:val="24"/>
                <w:bdr w:val="none" w:sz="0" w:space="0" w:color="auto" w:frame="1"/>
              </w:rPr>
              <w:t>There are no additional steps for awarding the P.E. substitution credit for ROTC 1 (8441), it automatically awards the P.E. substitution credit, but counselors should be scheduling students accordingly:</w:t>
            </w:r>
          </w:p>
          <w:p w14:paraId="31DC77D5" w14:textId="77777777" w:rsidR="00916DB3" w:rsidRPr="00916DB3" w:rsidRDefault="00916DB3" w:rsidP="0078534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Calibri" w:eastAsia="Times New Roman" w:hAnsi="Calibri" w:cs="Calibri"/>
                <w:color w:val="000000"/>
                <w:sz w:val="23"/>
                <w:szCs w:val="23"/>
                <w:bdr w:val="none" w:sz="0" w:space="0" w:color="auto" w:frame="1"/>
              </w:rPr>
              <w:t> </w:t>
            </w:r>
          </w:p>
          <w:p w14:paraId="71EDF08E" w14:textId="77777777" w:rsidR="00916DB3" w:rsidRPr="00916DB3" w:rsidRDefault="00916DB3" w:rsidP="0078534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If a student joins ROTC 1 and has already received their year PE credit, then counselors should be scheduling students under ROTC 1 (8440)</w:t>
            </w:r>
          </w:p>
          <w:p w14:paraId="5032710B" w14:textId="77777777" w:rsidR="00916DB3" w:rsidRPr="00916DB3" w:rsidRDefault="00916DB3" w:rsidP="007853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14:paraId="3A279DC5" w14:textId="77777777" w:rsidR="00916DB3" w:rsidRPr="00916DB3" w:rsidRDefault="00916DB3" w:rsidP="007853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If you have any questions about the master scheduling process or for assistance, please contact Angela </w:t>
            </w:r>
            <w:proofErr w:type="spellStart"/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Rolen</w:t>
            </w:r>
            <w:proofErr w:type="spellEnd"/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, Coordinator, Office of Learning and Compliance Support Services, at (210) 554-2485 or </w:t>
            </w:r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arolen1@saisd.net .</w:t>
            </w:r>
            <w:proofErr w:type="gramEnd"/>
            <w:r w:rsidRPr="00916DB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  </w:t>
            </w:r>
          </w:p>
          <w:p w14:paraId="1CDC6230" w14:textId="77777777" w:rsidR="00916DB3" w:rsidRPr="00916DB3" w:rsidRDefault="00916DB3" w:rsidP="007853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sz w:val="23"/>
                <w:szCs w:val="23"/>
              </w:rPr>
            </w:pPr>
            <w:r w:rsidRPr="0091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5696E" w:rsidRPr="00916DB3" w14:paraId="740684CD" w14:textId="77777777" w:rsidTr="00785346">
        <w:trPr>
          <w:gridBefore w:val="1"/>
          <w:wBefore w:w="270" w:type="dxa"/>
        </w:trPr>
        <w:tc>
          <w:tcPr>
            <w:tcW w:w="11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F99A" w14:textId="77777777" w:rsidR="0045696E" w:rsidRPr="00916DB3" w:rsidRDefault="0045696E" w:rsidP="00785346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45696E" w:rsidRPr="00916DB3" w14:paraId="579D4C0D" w14:textId="77777777" w:rsidTr="00785346">
        <w:trPr>
          <w:gridBefore w:val="1"/>
          <w:wBefore w:w="270" w:type="dxa"/>
        </w:trPr>
        <w:tc>
          <w:tcPr>
            <w:tcW w:w="11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8FFA" w14:textId="77777777" w:rsidR="0045696E" w:rsidRPr="00916DB3" w:rsidRDefault="0045696E" w:rsidP="00785346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487B6D95" w14:textId="77777777" w:rsidR="003C1E5F" w:rsidRDefault="003C1E5F"/>
    <w:sectPr w:rsidR="003C1E5F" w:rsidSect="00667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46D9" w14:textId="77777777" w:rsidR="00477D91" w:rsidRDefault="00477D91" w:rsidP="00292A57">
      <w:pPr>
        <w:spacing w:after="0" w:line="240" w:lineRule="auto"/>
      </w:pPr>
      <w:r>
        <w:separator/>
      </w:r>
    </w:p>
  </w:endnote>
  <w:endnote w:type="continuationSeparator" w:id="0">
    <w:p w14:paraId="426E1594" w14:textId="77777777" w:rsidR="00477D91" w:rsidRDefault="00477D91" w:rsidP="0029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9D5D" w14:textId="77777777" w:rsidR="0066750D" w:rsidRDefault="00667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9B6D" w14:textId="77777777" w:rsidR="0066750D" w:rsidRDefault="006675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1F73" w14:textId="77777777" w:rsidR="0066750D" w:rsidRDefault="00667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C3FF" w14:textId="77777777" w:rsidR="00477D91" w:rsidRDefault="00477D91" w:rsidP="00292A57">
      <w:pPr>
        <w:spacing w:after="0" w:line="240" w:lineRule="auto"/>
      </w:pPr>
      <w:r>
        <w:separator/>
      </w:r>
    </w:p>
  </w:footnote>
  <w:footnote w:type="continuationSeparator" w:id="0">
    <w:p w14:paraId="2D090533" w14:textId="77777777" w:rsidR="00477D91" w:rsidRDefault="00477D91" w:rsidP="0029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28BB" w14:textId="77777777" w:rsidR="0066750D" w:rsidRDefault="006675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E046" w14:textId="77777777" w:rsidR="0066750D" w:rsidRDefault="006675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0DAB" w14:textId="77777777" w:rsidR="0066750D" w:rsidRDefault="006675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F08"/>
    <w:multiLevelType w:val="multilevel"/>
    <w:tmpl w:val="9F864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22211"/>
    <w:multiLevelType w:val="multilevel"/>
    <w:tmpl w:val="2B085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323AF"/>
    <w:multiLevelType w:val="multilevel"/>
    <w:tmpl w:val="475AA0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306B1"/>
    <w:multiLevelType w:val="multilevel"/>
    <w:tmpl w:val="CF9C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B74DEB"/>
    <w:multiLevelType w:val="multilevel"/>
    <w:tmpl w:val="EA2A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812B6"/>
    <w:multiLevelType w:val="multilevel"/>
    <w:tmpl w:val="08FC2C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467FC6"/>
    <w:multiLevelType w:val="multilevel"/>
    <w:tmpl w:val="492EF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F4D37"/>
    <w:multiLevelType w:val="multilevel"/>
    <w:tmpl w:val="14E87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08749B"/>
    <w:multiLevelType w:val="multilevel"/>
    <w:tmpl w:val="79845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0F5686"/>
    <w:multiLevelType w:val="multilevel"/>
    <w:tmpl w:val="21F29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65269">
    <w:abstractNumId w:val="4"/>
  </w:num>
  <w:num w:numId="2" w16cid:durableId="779106517">
    <w:abstractNumId w:val="7"/>
  </w:num>
  <w:num w:numId="3" w16cid:durableId="157965610">
    <w:abstractNumId w:val="1"/>
  </w:num>
  <w:num w:numId="4" w16cid:durableId="1679189398">
    <w:abstractNumId w:val="6"/>
  </w:num>
  <w:num w:numId="5" w16cid:durableId="18091009">
    <w:abstractNumId w:val="2"/>
  </w:num>
  <w:num w:numId="6" w16cid:durableId="585070562">
    <w:abstractNumId w:val="3"/>
  </w:num>
  <w:num w:numId="7" w16cid:durableId="1917789192">
    <w:abstractNumId w:val="9"/>
  </w:num>
  <w:num w:numId="8" w16cid:durableId="1891965108">
    <w:abstractNumId w:val="8"/>
  </w:num>
  <w:num w:numId="9" w16cid:durableId="1697803025">
    <w:abstractNumId w:val="0"/>
  </w:num>
  <w:num w:numId="10" w16cid:durableId="1071347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B3"/>
    <w:rsid w:val="00292A57"/>
    <w:rsid w:val="003C1E5F"/>
    <w:rsid w:val="0045696E"/>
    <w:rsid w:val="00477D91"/>
    <w:rsid w:val="0066750D"/>
    <w:rsid w:val="007838D7"/>
    <w:rsid w:val="00785346"/>
    <w:rsid w:val="007F131C"/>
    <w:rsid w:val="0083753F"/>
    <w:rsid w:val="00916DB3"/>
    <w:rsid w:val="00AA4BCD"/>
    <w:rsid w:val="00D2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2B88"/>
  <w15:chartTrackingRefBased/>
  <w15:docId w15:val="{F755DF8A-E7F7-4E56-AE29-B2528086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57"/>
  </w:style>
  <w:style w:type="paragraph" w:styleId="Footer">
    <w:name w:val="footer"/>
    <w:basedOn w:val="Normal"/>
    <w:link w:val="FooterChar"/>
    <w:uiPriority w:val="99"/>
    <w:unhideWhenUsed/>
    <w:rsid w:val="00292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ROLEN, ANGELA M</dc:creator>
  <cp:keywords/>
  <dc:description/>
  <cp:lastModifiedBy>DE LEON, HOPE S</cp:lastModifiedBy>
  <cp:revision>2</cp:revision>
  <dcterms:created xsi:type="dcterms:W3CDTF">2023-12-04T21:46:00Z</dcterms:created>
  <dcterms:modified xsi:type="dcterms:W3CDTF">2023-12-04T21:46:00Z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7663e2d4-6468-40a7-80d6-e9342d606c43</vt:lpwstr>
  </property>
</Properties>
</file>